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F8" w:rsidRPr="00561C2F" w:rsidRDefault="008523FA" w:rsidP="00D24CF8">
      <w:pPr>
        <w:tabs>
          <w:tab w:val="left" w:pos="-2127"/>
        </w:tabs>
        <w:ind w:left="-1276" w:right="-1765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24CF8" w:rsidRPr="00561C2F">
        <w:rPr>
          <w:rFonts w:ascii="Arial" w:hAnsi="Arial" w:cs="Arial"/>
          <w:b/>
          <w:sz w:val="28"/>
          <w:szCs w:val="28"/>
          <w:u w:val="single"/>
        </w:rPr>
        <w:t xml:space="preserve">Employment changes </w:t>
      </w:r>
      <w:r>
        <w:rPr>
          <w:rFonts w:ascii="Arial" w:hAnsi="Arial" w:cs="Arial"/>
          <w:b/>
          <w:sz w:val="28"/>
          <w:szCs w:val="28"/>
          <w:u w:val="single"/>
        </w:rPr>
        <w:t xml:space="preserve">in </w:t>
      </w:r>
      <w:r w:rsidR="00061EDE">
        <w:rPr>
          <w:rFonts w:ascii="Arial" w:hAnsi="Arial" w:cs="Arial"/>
          <w:b/>
          <w:sz w:val="28"/>
          <w:szCs w:val="28"/>
          <w:u w:val="single"/>
        </w:rPr>
        <w:t>2014</w:t>
      </w:r>
    </w:p>
    <w:p w:rsidR="0034229D" w:rsidRDefault="00A80A16" w:rsidP="00E53610">
      <w:pPr>
        <w:tabs>
          <w:tab w:val="left" w:pos="-2127"/>
        </w:tabs>
        <w:ind w:left="-1276" w:right="-176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2.25pt;margin-top:1.1pt;width:316.5pt;height:266.25pt;z-index:251662336;mso-width-relative:margin;mso-height-relative:margin" strokecolor="#8064a2" strokeweight="2.25pt">
            <v:textbox style="mso-next-textbox:#_x0000_s1033">
              <w:txbxContent>
                <w:p w:rsidR="00FB5361" w:rsidRDefault="00F96D36" w:rsidP="00061EDE">
                  <w:pPr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 April</w:t>
                  </w:r>
                  <w:r w:rsidR="00061E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2014</w:t>
                  </w:r>
                </w:p>
                <w:p w:rsidR="00F96D36" w:rsidRDefault="00F96D36" w:rsidP="00FB5361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050A4" w:rsidRDefault="008D0B8F" w:rsidP="00D94E36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>F</w:t>
                  </w:r>
                  <w:r w:rsidR="00D94E36"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>inancial penalties for employers who lose an employment tribunal claim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 xml:space="preserve"> will be introduced</w:t>
                  </w:r>
                  <w:r w:rsidR="00D94E36">
                    <w:rPr>
                      <w:rFonts w:ascii="Arial" w:hAnsi="Arial" w:cs="Arial"/>
                      <w:color w:val="212121"/>
                      <w:sz w:val="20"/>
                      <w:szCs w:val="20"/>
                    </w:rPr>
                    <w:t xml:space="preserve">.  </w:t>
                  </w:r>
                </w:p>
                <w:p w:rsidR="00757E09" w:rsidRPr="008A4E01" w:rsidRDefault="00757E09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Penalties will be between £100 and £500</w:t>
                  </w:r>
                  <w:r w:rsidR="00A21D3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  <w:p w:rsidR="00757E09" w:rsidRDefault="00757E09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Discount of 50% applied if paid within 21 days</w:t>
                  </w:r>
                </w:p>
                <w:p w:rsidR="001E43AE" w:rsidRDefault="001E43AE" w:rsidP="001E43AE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ED3">
                    <w:rPr>
                      <w:rFonts w:ascii="Arial" w:hAnsi="Arial" w:cs="Arial"/>
                      <w:sz w:val="20"/>
                      <w:szCs w:val="20"/>
                    </w:rPr>
                    <w:t>Repeal of discrimination questionnaires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in the Equality Act 2013</w:t>
                  </w:r>
                  <w:r w:rsidR="00ED23A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F4374C" w:rsidRDefault="00ED23A5" w:rsidP="00F4374C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maximum </w:t>
                  </w:r>
                  <w:r w:rsidR="00F4374C">
                    <w:rPr>
                      <w:rFonts w:ascii="Arial" w:hAnsi="Arial" w:cs="Arial"/>
                      <w:sz w:val="20"/>
                      <w:szCs w:val="20"/>
                    </w:rPr>
                    <w:t>compensatory award for unfair dismiss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al claims increases to £76,574 (from 74,200) and the statutory cap for a week’s pay increases to £464 (from £460).</w:t>
                  </w:r>
                </w:p>
                <w:p w:rsidR="00823BAE" w:rsidRDefault="00823BAE" w:rsidP="00F4374C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statutory sick pay provisions will be amended to scrap the recovery of sick pay costs by employers under the Percentage Threshold Scheme and</w:t>
                  </w:r>
                  <w:r w:rsidR="00383596">
                    <w:rPr>
                      <w:rFonts w:ascii="Arial" w:hAnsi="Arial" w:cs="Arial"/>
                      <w:sz w:val="20"/>
                      <w:szCs w:val="20"/>
                    </w:rPr>
                    <w:t xml:space="preserve"> the requirement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to maintain SSP records.</w:t>
                  </w:r>
                </w:p>
                <w:p w:rsidR="00823BAE" w:rsidRPr="00823BAE" w:rsidRDefault="00797248" w:rsidP="00823BAE">
                  <w:pPr>
                    <w:tabs>
                      <w:tab w:val="left" w:pos="-2127"/>
                    </w:tabs>
                    <w:ind w:right="4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="00823BA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May 2014</w:t>
                  </w:r>
                </w:p>
                <w:p w:rsidR="00757E09" w:rsidRPr="00757E09" w:rsidRDefault="00823BAE" w:rsidP="00757E09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3BAE">
                    <w:rPr>
                      <w:rFonts w:ascii="Arial" w:hAnsi="Arial" w:cs="Arial"/>
                      <w:sz w:val="20"/>
                      <w:szCs w:val="20"/>
                    </w:rPr>
                    <w:t>Ma</w:t>
                  </w:r>
                  <w:r w:rsidR="00383596">
                    <w:rPr>
                      <w:rFonts w:ascii="Arial" w:hAnsi="Arial" w:cs="Arial"/>
                      <w:sz w:val="20"/>
                      <w:szCs w:val="20"/>
                    </w:rPr>
                    <w:t xml:space="preserve">ndatory early conciliation </w:t>
                  </w:r>
                  <w:r w:rsidRPr="00823BAE">
                    <w:rPr>
                      <w:rFonts w:ascii="Arial" w:hAnsi="Arial" w:cs="Arial"/>
                      <w:sz w:val="20"/>
                      <w:szCs w:val="20"/>
                    </w:rPr>
                    <w:t>comes into force.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823BAE">
                    <w:rPr>
                      <w:rFonts w:ascii="Arial" w:hAnsi="Arial" w:cs="Arial"/>
                      <w:sz w:val="20"/>
                      <w:szCs w:val="20"/>
                    </w:rPr>
                    <w:t xml:space="preserve">Claimants </w:t>
                  </w:r>
                  <w:r w:rsidR="00383596">
                    <w:rPr>
                      <w:rFonts w:ascii="Arial" w:hAnsi="Arial" w:cs="Arial"/>
                      <w:sz w:val="20"/>
                      <w:szCs w:val="20"/>
                    </w:rPr>
                    <w:t>will not be able to issue most Employment T</w:t>
                  </w:r>
                  <w:r w:rsidRPr="00823BAE">
                    <w:rPr>
                      <w:rFonts w:ascii="Arial" w:hAnsi="Arial" w:cs="Arial"/>
                      <w:sz w:val="20"/>
                      <w:szCs w:val="20"/>
                    </w:rPr>
                    <w:t>ribunal claims unless they have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submitted an Early Conciliation Form.</w:t>
                  </w:r>
                </w:p>
                <w:p w:rsidR="005050A4" w:rsidRDefault="005050A4" w:rsidP="00D94E36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50A4" w:rsidRDefault="005050A4" w:rsidP="00D94E36">
                  <w:pPr>
                    <w:tabs>
                      <w:tab w:val="left" w:pos="-2127"/>
                    </w:tabs>
                    <w:ind w:right="4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6D36" w:rsidRPr="001F3ED3" w:rsidRDefault="00F96D36" w:rsidP="00F96D36">
                  <w:pPr>
                    <w:tabs>
                      <w:tab w:val="left" w:pos="-2127"/>
                    </w:tabs>
                    <w:ind w:right="-176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6D36" w:rsidRPr="00F96D36" w:rsidRDefault="00F96D36" w:rsidP="00F96D36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6D3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96D36" w:rsidRDefault="00F96D36" w:rsidP="00FB5361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96D36" w:rsidRPr="001F3ED3" w:rsidRDefault="00F96D36" w:rsidP="00FB5361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65420" w:rsidRPr="008C6B65" w:rsidRDefault="00465420" w:rsidP="00465420">
                  <w:pPr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65420" w:rsidRPr="008C6B65" w:rsidRDefault="00465420" w:rsidP="00465420">
                  <w:pPr>
                    <w:tabs>
                      <w:tab w:val="left" w:pos="-2127"/>
                    </w:tabs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65420" w:rsidRPr="008C6B65" w:rsidRDefault="00465420" w:rsidP="00465420">
                  <w:pPr>
                    <w:rPr>
                      <w:sz w:val="20"/>
                      <w:szCs w:val="20"/>
                    </w:rPr>
                  </w:pPr>
                </w:p>
                <w:p w:rsidR="00465420" w:rsidRPr="008C6B65" w:rsidRDefault="00465420" w:rsidP="00465420">
                  <w:pPr>
                    <w:tabs>
                      <w:tab w:val="left" w:pos="-2127"/>
                    </w:tabs>
                    <w:spacing w:after="0"/>
                    <w:ind w:right="-323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  <w:lang w:eastAsia="zh-TW"/>
        </w:rPr>
        <w:pict>
          <v:shape id="_x0000_s1027" type="#_x0000_t202" style="position:absolute;left:0;text-align:left;margin-left:-42.9pt;margin-top:1.1pt;width:183.9pt;height:266.25pt;z-index:251654144;mso-width-relative:margin;mso-height-relative:margin" strokecolor="#8064a2" strokeweight="2.25pt">
            <v:textbox style="mso-next-textbox:#_x0000_s1027">
              <w:txbxContent>
                <w:p w:rsidR="00465420" w:rsidRDefault="00F96D36" w:rsidP="00061ED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6D36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January</w:t>
                  </w:r>
                  <w:r w:rsidR="00061E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2014</w:t>
                  </w:r>
                </w:p>
                <w:p w:rsidR="00F96D36" w:rsidRDefault="00483AEC" w:rsidP="0046542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Changes to TUPE and </w:t>
                  </w:r>
                  <w:r w:rsidR="00712752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law on collective redundancies </w:t>
                  </w:r>
                  <w:r w:rsidR="00823BAE">
                    <w:rPr>
                      <w:rFonts w:ascii="Arial" w:hAnsi="Arial" w:cs="Arial"/>
                      <w:sz w:val="20"/>
                      <w:szCs w:val="20"/>
                    </w:rPr>
                    <w:t xml:space="preserve">came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into effect:</w:t>
                  </w:r>
                </w:p>
                <w:p w:rsidR="008A4E01" w:rsidRPr="008A4E01" w:rsidRDefault="008A4E01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TUPE consultations involving 20</w:t>
                  </w:r>
                  <w:r w:rsidR="00A21D31">
                    <w:rPr>
                      <w:rFonts w:ascii="Arial" w:hAnsi="Arial" w:cs="Arial"/>
                      <w:sz w:val="20"/>
                      <w:szCs w:val="20"/>
                    </w:rPr>
                    <w:t xml:space="preserve"> or more</w:t>
                  </w: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 xml:space="preserve"> redundancies can take place before the transfer</w:t>
                  </w:r>
                </w:p>
                <w:p w:rsidR="008A4E01" w:rsidRPr="008A4E01" w:rsidRDefault="00483AEC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Employee liability information must be provided 28 days before transfer</w:t>
                  </w:r>
                  <w:r w:rsidR="00ED23A5">
                    <w:rPr>
                      <w:rFonts w:ascii="Arial" w:hAnsi="Arial" w:cs="Arial"/>
                      <w:sz w:val="20"/>
                      <w:szCs w:val="20"/>
                    </w:rPr>
                    <w:t xml:space="preserve"> (from 1 May)</w:t>
                  </w:r>
                </w:p>
                <w:p w:rsidR="008A4E01" w:rsidRPr="008A4E01" w:rsidRDefault="00483AEC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Limitation on the effect of collectively agreed terms inherited on a transfer</w:t>
                  </w:r>
                </w:p>
                <w:p w:rsidR="008A4E01" w:rsidRPr="008A4E01" w:rsidRDefault="00483AEC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Changes in workplac</w:t>
                  </w:r>
                  <w:r w:rsidR="008A4E01" w:rsidRPr="008A4E01">
                    <w:rPr>
                      <w:rFonts w:ascii="Arial" w:hAnsi="Arial" w:cs="Arial"/>
                      <w:sz w:val="20"/>
                      <w:szCs w:val="20"/>
                    </w:rPr>
                    <w:t>e can be argued as an ETO reason</w:t>
                  </w:r>
                </w:p>
                <w:p w:rsidR="008A4E01" w:rsidRPr="008A4E01" w:rsidRDefault="008A4E01" w:rsidP="008A4E01">
                  <w:pPr>
                    <w:pStyle w:val="ListBulle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Businesses with less than 10 employees can inform and</w:t>
                  </w:r>
                  <w:r w:rsidRPr="008A4E01">
                    <w:t xml:space="preserve"> </w:t>
                  </w:r>
                  <w:r w:rsidRPr="008A4E01">
                    <w:rPr>
                      <w:rFonts w:ascii="Arial" w:hAnsi="Arial" w:cs="Arial"/>
                      <w:sz w:val="20"/>
                      <w:szCs w:val="20"/>
                    </w:rPr>
                    <w:t>consult directly with their staff</w:t>
                  </w:r>
                  <w:r w:rsidR="00D93121">
                    <w:rPr>
                      <w:rFonts w:ascii="Arial" w:hAnsi="Arial" w:cs="Arial"/>
                      <w:sz w:val="20"/>
                      <w:szCs w:val="20"/>
                    </w:rPr>
                    <w:t xml:space="preserve"> where no </w:t>
                  </w:r>
                  <w:proofErr w:type="spellStart"/>
                  <w:r w:rsidR="00D93121">
                    <w:rPr>
                      <w:rFonts w:ascii="Arial" w:hAnsi="Arial" w:cs="Arial"/>
                      <w:sz w:val="20"/>
                      <w:szCs w:val="20"/>
                    </w:rPr>
                    <w:t>recognised</w:t>
                  </w:r>
                  <w:proofErr w:type="spellEnd"/>
                  <w:r w:rsidR="00D93121">
                    <w:rPr>
                      <w:rFonts w:ascii="Arial" w:hAnsi="Arial" w:cs="Arial"/>
                      <w:sz w:val="20"/>
                      <w:szCs w:val="20"/>
                    </w:rPr>
                    <w:t xml:space="preserve"> union or representatives</w:t>
                  </w:r>
                  <w:r w:rsidR="00ED23A5">
                    <w:rPr>
                      <w:rFonts w:ascii="Arial" w:hAnsi="Arial" w:cs="Arial"/>
                      <w:sz w:val="20"/>
                      <w:szCs w:val="20"/>
                    </w:rPr>
                    <w:t xml:space="preserve"> (from 31 July).</w:t>
                  </w:r>
                </w:p>
                <w:p w:rsidR="00465420" w:rsidRPr="008C6B65" w:rsidRDefault="00465420" w:rsidP="00D94E36">
                  <w:pPr>
                    <w:tabs>
                      <w:tab w:val="left" w:pos="-2127"/>
                    </w:tabs>
                    <w:spacing w:after="0"/>
                    <w:ind w:right="19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4229D" w:rsidRPr="00BC68BF" w:rsidRDefault="00A80A16" w:rsidP="00E53610">
      <w:pPr>
        <w:tabs>
          <w:tab w:val="left" w:pos="-2127"/>
        </w:tabs>
        <w:ind w:left="-1276" w:right="-176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GB" w:eastAsia="en-GB"/>
        </w:rPr>
        <w:pict>
          <v:shape id="_x0000_s1028" type="#_x0000_t202" style="position:absolute;left:0;text-align:left;margin-left:480.75pt;margin-top:22.75pt;width:230.5pt;height:220.8pt;z-index:251655168;mso-width-relative:margin;mso-height-relative:margin" strokecolor="#8064a2" strokeweight="2.25pt">
            <v:textbox style="mso-next-textbox:#_x0000_s1028">
              <w:txbxContent>
                <w:p w:rsidR="00823BAE" w:rsidRDefault="00823BAE" w:rsidP="00823BAE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 June 2014</w:t>
                  </w:r>
                </w:p>
                <w:p w:rsidR="00823BAE" w:rsidRDefault="00823BAE" w:rsidP="00823BAE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23BAE" w:rsidRDefault="00823BAE" w:rsidP="00823BAE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right to request flexible working is extended</w:t>
                  </w:r>
                </w:p>
                <w:p w:rsidR="00823BAE" w:rsidRDefault="00823BAE" w:rsidP="00823BAE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all employees with 26 weeks service.  The statutory duty to consider flexible working </w:t>
                  </w:r>
                </w:p>
                <w:p w:rsidR="00823BAE" w:rsidRDefault="00823BAE" w:rsidP="00823BAE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requests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is replaced with a duty to consider requests in a ‘reasonable manner’.</w:t>
                  </w:r>
                </w:p>
                <w:p w:rsidR="00823BAE" w:rsidRDefault="00823BAE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5361" w:rsidRDefault="00061EDE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 October 2014</w:t>
                  </w:r>
                </w:p>
                <w:p w:rsidR="00FB5361" w:rsidRDefault="00FB5361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F3ED3" w:rsidRDefault="001F3ED3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NMW</w:t>
                  </w:r>
                  <w:r w:rsidR="00483A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23BAE">
                    <w:rPr>
                      <w:rFonts w:ascii="Arial" w:hAnsi="Arial" w:cs="Arial"/>
                      <w:sz w:val="20"/>
                      <w:szCs w:val="20"/>
                    </w:rPr>
                    <w:t>increases come into effect:  Adult rate - £6.50; 18-20 year olds - £5.13; 16-17 year olds - £3.79 and apprentices - £2.73.</w:t>
                  </w:r>
                </w:p>
                <w:p w:rsidR="00823BAE" w:rsidRDefault="00823BAE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3BAE" w:rsidRDefault="00823BAE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Prospective fathers or partners can take time off </w:t>
                  </w:r>
                </w:p>
                <w:p w:rsidR="00823BAE" w:rsidRDefault="00823BAE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attend up to two antenatal appointments.</w:t>
                  </w:r>
                </w:p>
                <w:p w:rsidR="003D70EC" w:rsidRPr="00483AEC" w:rsidRDefault="003D70EC" w:rsidP="00483AEC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51B5" w:rsidRDefault="00DE51B5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51B5" w:rsidRDefault="00DE51B5" w:rsidP="001F3ED3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1F3ED3" w:rsidRDefault="001F3ED3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B5361" w:rsidRDefault="00FB5361" w:rsidP="00FB5361">
                  <w:pPr>
                    <w:keepNext/>
                    <w:tabs>
                      <w:tab w:val="left" w:pos="-2127"/>
                    </w:tabs>
                    <w:spacing w:after="0"/>
                    <w:ind w:right="-3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1331D" w:rsidRPr="00E53610" w:rsidRDefault="0041331D" w:rsidP="00E53610">
      <w:pPr>
        <w:tabs>
          <w:tab w:val="left" w:pos="-2127"/>
        </w:tabs>
        <w:ind w:left="-1276" w:right="-1765"/>
        <w:jc w:val="center"/>
        <w:rPr>
          <w:rFonts w:ascii="Arial" w:hAnsi="Arial" w:cs="Arial"/>
        </w:rPr>
      </w:pPr>
    </w:p>
    <w:p w:rsidR="00E53610" w:rsidRDefault="00A80A16" w:rsidP="00E53610">
      <w:pPr>
        <w:tabs>
          <w:tab w:val="left" w:pos="-2127"/>
        </w:tabs>
        <w:ind w:left="-1276" w:right="-1765"/>
      </w:pPr>
      <w:r>
        <w:rPr>
          <w:noProof/>
          <w:lang w:eastAsia="zh-TW"/>
        </w:rPr>
        <w:pict>
          <v:shape id="_x0000_s1031" type="#_x0000_t202" style="position:absolute;left:0;text-align:left;margin-left:-38.7pt;margin-top:308.9pt;width:552.7pt;height:95.85pt;z-index:251659264;mso-position-horizontal-relative:text;mso-position-vertical-relative:text;mso-width-relative:margin;mso-height-relative:margin" strokecolor="#8064a2" strokeweight="2.25pt">
            <v:textbox style="mso-next-textbox:#_x0000_s1031">
              <w:txbxContent>
                <w:p w:rsidR="00D24CF8" w:rsidRPr="001F3ED3" w:rsidRDefault="008523FA" w:rsidP="008A4E01">
                  <w:pPr>
                    <w:tabs>
                      <w:tab w:val="left" w:pos="-2127"/>
                    </w:tabs>
                    <w:ind w:right="7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Other </w:t>
                  </w:r>
                  <w:r w:rsidR="00FD23C1"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developments </w:t>
                  </w:r>
                  <w:r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expected to take effect </w:t>
                  </w:r>
                  <w:r w:rsidR="00D24CF8"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 </w:t>
                  </w:r>
                  <w:r w:rsidR="009E6D43" w:rsidRPr="001F3ED3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  <w:p w:rsidR="005050A4" w:rsidRDefault="005050A4" w:rsidP="008A4E01">
                  <w:pPr>
                    <w:tabs>
                      <w:tab w:val="left" w:pos="-2127"/>
                    </w:tabs>
                    <w:ind w:right="7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Repeal of tribunal’s powers to make recommendations which benefit the whole workforce </w:t>
                  </w:r>
                  <w:r w:rsidR="00D93121">
                    <w:rPr>
                      <w:rFonts w:ascii="Arial" w:hAnsi="Arial" w:cs="Arial"/>
                      <w:sz w:val="20"/>
                      <w:szCs w:val="20"/>
                    </w:rPr>
                    <w:t xml:space="preserve">following a </w:t>
                  </w:r>
                  <w:r w:rsidR="009D1080">
                    <w:rPr>
                      <w:rFonts w:ascii="Arial" w:hAnsi="Arial" w:cs="Arial"/>
                      <w:sz w:val="20"/>
                      <w:szCs w:val="20"/>
                    </w:rPr>
                    <w:t>successful discrimination</w:t>
                  </w:r>
                  <w:r w:rsidR="00D9312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D1080">
                    <w:rPr>
                      <w:rFonts w:ascii="Arial" w:hAnsi="Arial" w:cs="Arial"/>
                      <w:sz w:val="20"/>
                      <w:szCs w:val="20"/>
                    </w:rPr>
                    <w:t>claim -</w:t>
                  </w:r>
                  <w:r w:rsidR="00F4374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D1080">
                    <w:rPr>
                      <w:rFonts w:ascii="Arial" w:hAnsi="Arial" w:cs="Arial"/>
                      <w:sz w:val="20"/>
                      <w:szCs w:val="20"/>
                    </w:rPr>
                    <w:t>no implementation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date yet</w:t>
                  </w:r>
                  <w:r w:rsidR="00ED23A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10167E" w:rsidRPr="0010167E" w:rsidRDefault="009E6D43" w:rsidP="008A4E01">
                  <w:pPr>
                    <w:tabs>
                      <w:tab w:val="left" w:pos="-2127"/>
                    </w:tabs>
                    <w:spacing w:after="0"/>
                    <w:ind w:right="78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1F3ED3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 xml:space="preserve">The </w:t>
                  </w:r>
                  <w:r w:rsidR="0010167E" w:rsidRPr="00F4374C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R</w:t>
                  </w:r>
                  <w:proofErr w:type="spellStart"/>
                  <w:r w:rsidR="009C6A64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>eg</w:t>
                  </w:r>
                  <w:r w:rsidR="009D1080" w:rsidRPr="0010167E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>ulations</w:t>
                  </w:r>
                  <w:proofErr w:type="spellEnd"/>
                  <w:r w:rsidR="0010167E" w:rsidRPr="0010167E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 xml:space="preserve"> giving tribunals the power to order an employer </w:t>
                  </w:r>
                  <w:r w:rsidR="009C6A64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 xml:space="preserve">to </w:t>
                  </w:r>
                  <w:r w:rsidR="0010167E" w:rsidRPr="0010167E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>carry out an equal pay audit where it is found</w:t>
                  </w:r>
                  <w:r w:rsidR="00F4374C">
                    <w:rPr>
                      <w:rFonts w:ascii="Arial" w:eastAsia="Times New Roman" w:hAnsi="Arial" w:cs="Arial"/>
                      <w:color w:val="212121"/>
                      <w:sz w:val="20"/>
                      <w:szCs w:val="20"/>
                      <w:lang w:val="en-GB" w:eastAsia="en-GB"/>
                    </w:rPr>
                    <w:t xml:space="preserve"> to have breached equal pay law expected to be put before parliament.</w:t>
                  </w:r>
                </w:p>
                <w:p w:rsidR="0010167E" w:rsidRDefault="0010167E" w:rsidP="008A4E01">
                  <w:pPr>
                    <w:tabs>
                      <w:tab w:val="left" w:pos="-2127"/>
                    </w:tabs>
                    <w:spacing w:after="0"/>
                    <w:ind w:right="78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  <w:lang w:val="en-GB"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4.25pt;margin-top:195.95pt;width:17.5pt;height:37.25pt;z-index:251656192" fillcolor="#8064a2" strokecolor="#c64363"/>
        </w:pict>
      </w:r>
      <w:r>
        <w:rPr>
          <w:rFonts w:ascii="Arial" w:hAnsi="Arial" w:cs="Arial"/>
          <w:b/>
          <w:noProof/>
          <w:u w:val="single"/>
          <w:lang w:val="en-GB" w:eastAsia="en-GB"/>
        </w:rPr>
        <w:pict>
          <v:shape id="_x0000_s1034" type="#_x0000_t67" style="position:absolute;left:0;text-align:left;margin-left:502.25pt;margin-top:195.95pt;width:17.5pt;height:37.25pt;z-index:251663360" fillcolor="#8064a2" strokecolor="#c64363"/>
        </w:pict>
      </w:r>
      <w:r>
        <w:rPr>
          <w:noProof/>
          <w:lang w:eastAsia="zh-TW"/>
        </w:rPr>
        <w:pict>
          <v:shape id="_x0000_s1032" type="#_x0000_t202" style="position:absolute;left:0;text-align:left;margin-left:156pt;margin-top:241.45pt;width:194.25pt;height:37.5pt;z-index:251660288;mso-width-relative:margin;mso-height-relative:margin" fillcolor="#8064a2" strokecolor="#f2f2f2" strokeweight="3pt">
            <v:shadow on="t" type="perspective" color="#3f3151" opacity=".5" offset="1pt" offset2="-1pt"/>
            <v:textbox style="mso-next-textbox:#_x0000_s1032">
              <w:txbxContent>
                <w:p w:rsidR="00D24CF8" w:rsidRPr="005065B7" w:rsidRDefault="00F96D36" w:rsidP="00D24CF8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5065B7">
                    <w:rPr>
                      <w:rFonts w:ascii="Arial" w:hAnsi="Arial" w:cs="Arial"/>
                      <w:b/>
                      <w:sz w:val="48"/>
                      <w:szCs w:val="48"/>
                    </w:rPr>
                    <w:t>2014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38.7pt;margin-top:209.2pt;width:775.65pt;height:103.05pt;z-index:251653120" fillcolor="#8064a2" strokecolor="#8064a2"/>
        </w:pict>
      </w:r>
      <w:r>
        <w:rPr>
          <w:rFonts w:ascii="Arial" w:hAnsi="Arial" w:cs="Arial"/>
          <w:b/>
          <w:noProof/>
          <w:u w:val="single"/>
          <w:lang w:val="en-GB" w:eastAsia="en-GB"/>
        </w:rPr>
        <w:pict>
          <v:shape id="_x0000_s1030" type="#_x0000_t67" style="position:absolute;left:0;text-align:left;margin-left:288.5pt;margin-top:195.95pt;width:17.5pt;height:37.25pt;z-index:251657216" fillcolor="#8064a2" strokecolor="#c64363"/>
        </w:pict>
      </w:r>
      <w:r w:rsidR="00832DBB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3929784" wp14:editId="29CB4EB7">
            <wp:simplePos x="0" y="0"/>
            <wp:positionH relativeFrom="margin">
              <wp:posOffset>7458075</wp:posOffset>
            </wp:positionH>
            <wp:positionV relativeFrom="margin">
              <wp:posOffset>5771515</wp:posOffset>
            </wp:positionV>
            <wp:extent cx="1981200" cy="514350"/>
            <wp:effectExtent l="19050" t="0" r="0" b="0"/>
            <wp:wrapSquare wrapText="bothSides"/>
            <wp:docPr id="16" name="Picture 16" descr="IM_solicitors_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_solicitors_logo high r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3610" w:rsidSect="00D24C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276" w:right="1440" w:bottom="1800" w:left="1440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DC" w:rsidRDefault="007C51DC" w:rsidP="001C5060">
      <w:pPr>
        <w:spacing w:after="0"/>
      </w:pPr>
      <w:r>
        <w:separator/>
      </w:r>
    </w:p>
  </w:endnote>
  <w:endnote w:type="continuationSeparator" w:id="0">
    <w:p w:rsidR="007C51DC" w:rsidRDefault="007C51DC" w:rsidP="001C5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CB" w:rsidRDefault="004A0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CB" w:rsidRDefault="004A0E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CB" w:rsidRDefault="004A0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DC" w:rsidRDefault="007C51DC" w:rsidP="001C5060">
      <w:pPr>
        <w:spacing w:after="0"/>
      </w:pPr>
      <w:r>
        <w:separator/>
      </w:r>
    </w:p>
  </w:footnote>
  <w:footnote w:type="continuationSeparator" w:id="0">
    <w:p w:rsidR="007C51DC" w:rsidRDefault="007C51DC" w:rsidP="001C5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CB" w:rsidRDefault="004A0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2F" w:rsidRDefault="00561C2F" w:rsidP="000F7BF0">
    <w:pPr>
      <w:pStyle w:val="Header"/>
      <w:ind w:left="-1418"/>
      <w:jc w:val="right"/>
      <w:rPr>
        <w:noProof/>
        <w:lang w:eastAsia="en-US"/>
      </w:rPr>
    </w:pPr>
  </w:p>
  <w:p w:rsidR="00561C2F" w:rsidRDefault="00561C2F" w:rsidP="000F7BF0">
    <w:pPr>
      <w:pStyle w:val="Header"/>
      <w:ind w:left="-141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CB" w:rsidRDefault="004A0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F066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97F4D"/>
    <w:multiLevelType w:val="hybridMultilevel"/>
    <w:tmpl w:val="0326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74A8D"/>
    <w:multiLevelType w:val="hybridMultilevel"/>
    <w:tmpl w:val="793E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D74DB"/>
    <w:multiLevelType w:val="hybridMultilevel"/>
    <w:tmpl w:val="9430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508EB"/>
    <w:multiLevelType w:val="hybridMultilevel"/>
    <w:tmpl w:val="9414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34B69"/>
    <w:multiLevelType w:val="hybridMultilevel"/>
    <w:tmpl w:val="7CFC32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DC05FD0"/>
    <w:multiLevelType w:val="hybridMultilevel"/>
    <w:tmpl w:val="D93A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E3D11"/>
    <w:multiLevelType w:val="hybridMultilevel"/>
    <w:tmpl w:val="EA92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A7D9D"/>
    <w:multiLevelType w:val="hybridMultilevel"/>
    <w:tmpl w:val="A452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E5E32"/>
    <w:multiLevelType w:val="hybridMultilevel"/>
    <w:tmpl w:val="3148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lientMatter" w:val="BLS-EMP"/>
    <w:docVar w:name="ClientName" w:val="Business Legal Services"/>
    <w:docVar w:name="DocumentReference" w:val="5378612 "/>
    <w:docVar w:name="DocumentReferenceVersion" w:val="5378612-1"/>
    <w:docVar w:name="MatterName" w:val="Employment"/>
  </w:docVars>
  <w:rsids>
    <w:rsidRoot w:val="001C5060"/>
    <w:rsid w:val="00000A53"/>
    <w:rsid w:val="00005809"/>
    <w:rsid w:val="00037A69"/>
    <w:rsid w:val="00061EDE"/>
    <w:rsid w:val="00083A01"/>
    <w:rsid w:val="000A6184"/>
    <w:rsid w:val="000C1450"/>
    <w:rsid w:val="000C54A0"/>
    <w:rsid w:val="000D6B37"/>
    <w:rsid w:val="000F7BF0"/>
    <w:rsid w:val="0010167E"/>
    <w:rsid w:val="001472DF"/>
    <w:rsid w:val="00152890"/>
    <w:rsid w:val="001537CA"/>
    <w:rsid w:val="00187B3B"/>
    <w:rsid w:val="001B2E4F"/>
    <w:rsid w:val="001C5060"/>
    <w:rsid w:val="001E43AE"/>
    <w:rsid w:val="001E4909"/>
    <w:rsid w:val="001F14E9"/>
    <w:rsid w:val="001F3ED3"/>
    <w:rsid w:val="002B7315"/>
    <w:rsid w:val="002C0C14"/>
    <w:rsid w:val="002D3BC3"/>
    <w:rsid w:val="003061BB"/>
    <w:rsid w:val="00334E46"/>
    <w:rsid w:val="0034229D"/>
    <w:rsid w:val="00383596"/>
    <w:rsid w:val="003A27AA"/>
    <w:rsid w:val="003A3CD5"/>
    <w:rsid w:val="003C0046"/>
    <w:rsid w:val="003D0AAB"/>
    <w:rsid w:val="003D70EC"/>
    <w:rsid w:val="004128FA"/>
    <w:rsid w:val="0041331D"/>
    <w:rsid w:val="00452B32"/>
    <w:rsid w:val="00465420"/>
    <w:rsid w:val="0047121F"/>
    <w:rsid w:val="004738CE"/>
    <w:rsid w:val="00483AEC"/>
    <w:rsid w:val="004916EB"/>
    <w:rsid w:val="004A0ECB"/>
    <w:rsid w:val="004E1A8B"/>
    <w:rsid w:val="004F6A0A"/>
    <w:rsid w:val="00504233"/>
    <w:rsid w:val="005050A4"/>
    <w:rsid w:val="005065B7"/>
    <w:rsid w:val="005214EF"/>
    <w:rsid w:val="00555A37"/>
    <w:rsid w:val="00561C2F"/>
    <w:rsid w:val="00572B12"/>
    <w:rsid w:val="00585E91"/>
    <w:rsid w:val="005E069B"/>
    <w:rsid w:val="005F7E00"/>
    <w:rsid w:val="006178C1"/>
    <w:rsid w:val="006435CC"/>
    <w:rsid w:val="006545DF"/>
    <w:rsid w:val="0065483F"/>
    <w:rsid w:val="006D493B"/>
    <w:rsid w:val="00712752"/>
    <w:rsid w:val="00757E09"/>
    <w:rsid w:val="00797248"/>
    <w:rsid w:val="007A0856"/>
    <w:rsid w:val="007A4733"/>
    <w:rsid w:val="007A727D"/>
    <w:rsid w:val="007C2A28"/>
    <w:rsid w:val="007C51DC"/>
    <w:rsid w:val="007E6B34"/>
    <w:rsid w:val="00804378"/>
    <w:rsid w:val="008226F7"/>
    <w:rsid w:val="00823BAE"/>
    <w:rsid w:val="00832DBB"/>
    <w:rsid w:val="008523FA"/>
    <w:rsid w:val="00871763"/>
    <w:rsid w:val="00891D16"/>
    <w:rsid w:val="008A4E01"/>
    <w:rsid w:val="008B3FFF"/>
    <w:rsid w:val="008C4628"/>
    <w:rsid w:val="008C6B65"/>
    <w:rsid w:val="008D0B8F"/>
    <w:rsid w:val="008E1EAB"/>
    <w:rsid w:val="008F2502"/>
    <w:rsid w:val="009225F6"/>
    <w:rsid w:val="0092360E"/>
    <w:rsid w:val="00983880"/>
    <w:rsid w:val="009B7592"/>
    <w:rsid w:val="009C6A64"/>
    <w:rsid w:val="009D04C2"/>
    <w:rsid w:val="009D1080"/>
    <w:rsid w:val="009E6D43"/>
    <w:rsid w:val="009F7238"/>
    <w:rsid w:val="00A21D31"/>
    <w:rsid w:val="00A35B36"/>
    <w:rsid w:val="00A437B5"/>
    <w:rsid w:val="00A539F6"/>
    <w:rsid w:val="00A80A16"/>
    <w:rsid w:val="00A9779C"/>
    <w:rsid w:val="00AC66B8"/>
    <w:rsid w:val="00B7392E"/>
    <w:rsid w:val="00B76586"/>
    <w:rsid w:val="00BA3D12"/>
    <w:rsid w:val="00BB57FE"/>
    <w:rsid w:val="00BB6A59"/>
    <w:rsid w:val="00BC68BF"/>
    <w:rsid w:val="00C25A7D"/>
    <w:rsid w:val="00C2629D"/>
    <w:rsid w:val="00C41F5C"/>
    <w:rsid w:val="00C44575"/>
    <w:rsid w:val="00C5691A"/>
    <w:rsid w:val="00C76740"/>
    <w:rsid w:val="00C8216D"/>
    <w:rsid w:val="00CD5D5F"/>
    <w:rsid w:val="00D21E4B"/>
    <w:rsid w:val="00D22E55"/>
    <w:rsid w:val="00D24CF8"/>
    <w:rsid w:val="00D93121"/>
    <w:rsid w:val="00D94E36"/>
    <w:rsid w:val="00DE51B5"/>
    <w:rsid w:val="00E32C2B"/>
    <w:rsid w:val="00E53610"/>
    <w:rsid w:val="00E77263"/>
    <w:rsid w:val="00E8465E"/>
    <w:rsid w:val="00ED23A5"/>
    <w:rsid w:val="00EE0A7B"/>
    <w:rsid w:val="00EF14F8"/>
    <w:rsid w:val="00F4374C"/>
    <w:rsid w:val="00F606A0"/>
    <w:rsid w:val="00F667D1"/>
    <w:rsid w:val="00F81F16"/>
    <w:rsid w:val="00F96D36"/>
    <w:rsid w:val="00FA54AD"/>
    <w:rsid w:val="00FB5361"/>
    <w:rsid w:val="00FD23C1"/>
    <w:rsid w:val="00FF1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>
      <o:colormru v:ext="edit" colors="#c6436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061BB"/>
    <w:pPr>
      <w:spacing w:after="200"/>
    </w:pPr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0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5060"/>
  </w:style>
  <w:style w:type="paragraph" w:styleId="Footer">
    <w:name w:val="footer"/>
    <w:basedOn w:val="Normal"/>
    <w:link w:val="FooterChar"/>
    <w:uiPriority w:val="99"/>
    <w:unhideWhenUsed/>
    <w:rsid w:val="001C50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5060"/>
  </w:style>
  <w:style w:type="paragraph" w:styleId="BalloonText">
    <w:name w:val="Balloon Text"/>
    <w:basedOn w:val="Normal"/>
    <w:link w:val="BalloonTextChar"/>
    <w:uiPriority w:val="99"/>
    <w:semiHidden/>
    <w:unhideWhenUsed/>
    <w:rsid w:val="001C506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0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53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214EF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72"/>
    <w:qFormat/>
    <w:rsid w:val="003D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0093F-3194-4AEB-BE35-70E018CF4102}"/>
</file>

<file path=customXml/itemProps2.xml><?xml version="1.0" encoding="utf-8"?>
<ds:datastoreItem xmlns:ds="http://schemas.openxmlformats.org/officeDocument/2006/customXml" ds:itemID="{359C6FB3-E8CE-4A68-9929-0E0428A7F6D0}"/>
</file>

<file path=customXml/itemProps3.xml><?xml version="1.0" encoding="utf-8"?>
<ds:datastoreItem xmlns:ds="http://schemas.openxmlformats.org/officeDocument/2006/customXml" ds:itemID="{2209A6AD-36DD-440F-B2CC-A21D46F606A9}"/>
</file>

<file path=customXml/itemProps4.xml><?xml version="1.0" encoding="utf-8"?>
<ds:datastoreItem xmlns:ds="http://schemas.openxmlformats.org/officeDocument/2006/customXml" ds:itemID="{E178C8CC-A80B-42D1-8C4F-32E2E8989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kirkj</dc:creator>
  <cp:keywords/>
  <dc:description/>
  <cp:lastModifiedBy>Joanne Moseley</cp:lastModifiedBy>
  <cp:revision>2</cp:revision>
  <cp:lastPrinted>2014-03-24T16:06:00Z</cp:lastPrinted>
  <dcterms:created xsi:type="dcterms:W3CDTF">2014-03-26T10:08:00Z</dcterms:created>
  <dcterms:modified xsi:type="dcterms:W3CDTF">2014-03-26T10:08:00Z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Reference">
    <vt:lpwstr>5378612 </vt:lpwstr>
  </property>
  <property fmtid="{D5CDD505-2E9C-101B-9397-08002B2CF9AE}" pid="3" name="DocumentReferenceVersion">
    <vt:lpwstr>5378612-1</vt:lpwstr>
  </property>
  <property fmtid="{D5CDD505-2E9C-101B-9397-08002B2CF9AE}" pid="4" name="ClientMatter">
    <vt:lpwstr>BLS-EMP</vt:lpwstr>
  </property>
  <property fmtid="{D5CDD505-2E9C-101B-9397-08002B2CF9AE}" pid="5" name="ClientName">
    <vt:lpwstr>Business Legal Services</vt:lpwstr>
  </property>
  <property fmtid="{D5CDD505-2E9C-101B-9397-08002B2CF9AE}" pid="6" name="MatterName">
    <vt:lpwstr>Employment</vt:lpwstr>
  </property>
</Properties>
</file>